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2" w:rsidRPr="00EE6BB2" w:rsidRDefault="00EE6BB2" w:rsidP="00EE6BB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EE6BB2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При наличных расчетах между </w:t>
      </w:r>
      <w:proofErr w:type="spellStart"/>
      <w:r w:rsidRPr="00EE6BB2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юрлицами</w:t>
      </w:r>
      <w:proofErr w:type="spellEnd"/>
      <w:r w:rsidRPr="00EE6BB2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 и ИП все наименования проданных товаров должны быть указаны в кассовом чеке или в БСО</w:t>
      </w:r>
    </w:p>
    <w:p w:rsidR="00EE6BB2" w:rsidRPr="00EE6BB2" w:rsidRDefault="00EE6BB2" w:rsidP="00EE6BB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BB2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Федеральная налоговая служба в письме </w:t>
      </w:r>
      <w:hyperlink r:id="rId4" w:tgtFrame="_blank" w:history="1">
        <w:r w:rsidRPr="00EE6BB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22.02.17 № ЕД-4-20/3420@</w:t>
        </w:r>
      </w:hyperlink>
      <w:r w:rsidRPr="00EE6BB2">
        <w:rPr>
          <w:rFonts w:ascii="Times New Roman" w:eastAsia="Times New Roman" w:hAnsi="Times New Roman" w:cs="Times New Roman"/>
          <w:color w:val="333333"/>
          <w:sz w:val="24"/>
          <w:szCs w:val="24"/>
        </w:rPr>
        <w:t> разъяснила правила оформления кассового чека (бланка строгой отчетности) при осуществлении наличных денежных расчетов между организациями и индивидуальными предпринимателями за проданные товары. В частности чиновники отметили, что в кассовом чеке или в бланке строгой отчетности должны быть указаны наименования всех проданных товаров независимо от их количества.</w:t>
      </w:r>
    </w:p>
    <w:p w:rsidR="00EE6BB2" w:rsidRPr="00EE6BB2" w:rsidRDefault="00EE6BB2" w:rsidP="00EE6BB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BB2">
        <w:rPr>
          <w:rFonts w:ascii="Times New Roman" w:eastAsia="Times New Roman" w:hAnsi="Times New Roman" w:cs="Times New Roman"/>
          <w:color w:val="333333"/>
          <w:sz w:val="24"/>
          <w:szCs w:val="24"/>
        </w:rPr>
        <w:t>В подтверждение своей позиции авторы комментируемого письма ссылаются на пункт 1 </w:t>
      </w:r>
      <w:hyperlink r:id="rId5" w:anchor="l473" w:tgtFrame="_blank" w:history="1">
        <w:r w:rsidRPr="00EE6BB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4.7</w:t>
        </w:r>
      </w:hyperlink>
      <w:r w:rsidRPr="00EE6BB2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от 22.05.03 № 54-ФЗ о применении контрольно-кассовой техники. В нем, помимо прочего, сказано, что кассовый чек и бланк строгой отчетности должны содержать обязательные реквизиты, в том числе наименование товаров, работ, услуг.</w:t>
      </w:r>
    </w:p>
    <w:p w:rsidR="00EE6BB2" w:rsidRPr="00EE6BB2" w:rsidRDefault="00EE6BB2" w:rsidP="00EE6BB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BB2">
        <w:rPr>
          <w:rFonts w:ascii="Times New Roman" w:eastAsia="Times New Roman" w:hAnsi="Times New Roman" w:cs="Times New Roman"/>
          <w:color w:val="333333"/>
          <w:sz w:val="24"/>
          <w:szCs w:val="24"/>
        </w:rPr>
        <w:t>На этом основании специалисты ФНС делают следующий вывод. При осуществлении я наличных расчетов между юридическими лицами и (или) индивидуальными предпринимателями за реализованный товар (работы, услуги) наименование таких товаров (работ, услуг) необходимо отражать на кассовом чеке (бланке строгой отчетности) независимо от их количества.</w:t>
      </w:r>
    </w:p>
    <w:p w:rsidR="00F10B83" w:rsidRPr="00EE6BB2" w:rsidRDefault="00F10B83" w:rsidP="00EE6B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B83" w:rsidRPr="00EE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BB2"/>
    <w:rsid w:val="00EE6BB2"/>
    <w:rsid w:val="00F1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BB2"/>
  </w:style>
  <w:style w:type="character" w:styleId="a4">
    <w:name w:val="Hyperlink"/>
    <w:basedOn w:val="a0"/>
    <w:uiPriority w:val="99"/>
    <w:semiHidden/>
    <w:unhideWhenUsed/>
    <w:rsid w:val="00EE6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6618&amp;promocode=0957" TargetMode="External"/><Relationship Id="rId4" Type="http://schemas.openxmlformats.org/officeDocument/2006/relationships/hyperlink" Target="https://normativ.kontur.ru/document?moduleId=1&amp;documentId=289990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2017-03-24T06:39:00Z</dcterms:created>
  <dcterms:modified xsi:type="dcterms:W3CDTF">2017-03-24T06:40:00Z</dcterms:modified>
</cp:coreProperties>
</file>